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571F" w:rsidRDefault="00062403">
      <w:pPr>
        <w:pStyle w:val="Style1"/>
        <w:spacing w:before="62" w:line="210" w:lineRule="exact"/>
        <w:rPr>
          <w:rStyle w:val="Aucun"/>
          <w:rFonts w:ascii="Calibri" w:eastAsia="Calibri" w:hAnsi="Calibri" w:cs="Calibri"/>
          <w:b/>
          <w:bCs/>
          <w:color w:val="365F91"/>
          <w:sz w:val="16"/>
          <w:szCs w:val="16"/>
          <w:u w:color="365F91"/>
        </w:rPr>
      </w:pPr>
      <w:r>
        <w:rPr>
          <w:rStyle w:val="Aucun"/>
          <w:rFonts w:ascii="Calibri" w:eastAsia="Calibri" w:hAnsi="Calibri" w:cs="Calibri"/>
          <w:noProof/>
        </w:rPr>
        <w:drawing>
          <wp:anchor distT="57150" distB="57150" distL="57150" distR="57150" simplePos="0" relativeHeight="251659264" behindDoc="0" locked="0" layoutInCell="1" allowOverlap="1">
            <wp:simplePos x="0" y="0"/>
            <wp:positionH relativeFrom="page">
              <wp:posOffset>2976777</wp:posOffset>
            </wp:positionH>
            <wp:positionV relativeFrom="page">
              <wp:posOffset>450215</wp:posOffset>
            </wp:positionV>
            <wp:extent cx="1606755" cy="516255"/>
            <wp:effectExtent l="0" t="0" r="0" b="0"/>
            <wp:wrapSquare wrapText="bothSides" distT="57150" distB="57150" distL="57150" distR="57150"/>
            <wp:docPr id="1073741825" name="officeArt object" descr="logo_icone-snepdétouré-2.png"/>
            <wp:cNvGraphicFramePr/>
            <a:graphic xmlns:a="http://schemas.openxmlformats.org/drawingml/2006/main">
              <a:graphicData uri="http://schemas.openxmlformats.org/drawingml/2006/picture">
                <pic:pic xmlns:pic="http://schemas.openxmlformats.org/drawingml/2006/picture">
                  <pic:nvPicPr>
                    <pic:cNvPr id="1073741825" name="logo_icone-snepdétouré-2.png" descr="logo_icone-snepdétouré-2.png"/>
                    <pic:cNvPicPr>
                      <a:picLocks noChangeAspect="1"/>
                    </pic:cNvPicPr>
                  </pic:nvPicPr>
                  <pic:blipFill>
                    <a:blip r:embed="rId7"/>
                    <a:stretch>
                      <a:fillRect/>
                    </a:stretch>
                  </pic:blipFill>
                  <pic:spPr>
                    <a:xfrm>
                      <a:off x="0" y="0"/>
                      <a:ext cx="1606755" cy="516255"/>
                    </a:xfrm>
                    <a:prstGeom prst="rect">
                      <a:avLst/>
                    </a:prstGeom>
                    <a:ln w="12700" cap="flat">
                      <a:noFill/>
                      <a:miter lim="400000"/>
                    </a:ln>
                    <a:effectLst/>
                  </pic:spPr>
                </pic:pic>
              </a:graphicData>
            </a:graphic>
          </wp:anchor>
        </w:drawing>
      </w:r>
    </w:p>
    <w:p w:rsidR="0045571F" w:rsidRDefault="0045571F">
      <w:pPr>
        <w:pStyle w:val="Style1"/>
        <w:spacing w:before="62" w:line="210" w:lineRule="exact"/>
        <w:rPr>
          <w:rStyle w:val="Aucun"/>
          <w:rFonts w:ascii="Calibri" w:eastAsia="Calibri" w:hAnsi="Calibri" w:cs="Calibri"/>
          <w:b/>
          <w:bCs/>
          <w:color w:val="365F91"/>
          <w:sz w:val="18"/>
          <w:szCs w:val="18"/>
          <w:u w:color="365F91"/>
        </w:rPr>
      </w:pPr>
    </w:p>
    <w:p w:rsidR="0045571F" w:rsidRDefault="0045571F">
      <w:pPr>
        <w:pStyle w:val="Style1"/>
        <w:spacing w:before="62" w:line="210" w:lineRule="exact"/>
        <w:jc w:val="center"/>
        <w:rPr>
          <w:rStyle w:val="Aucun"/>
          <w:rFonts w:ascii="Calibri" w:eastAsia="Calibri" w:hAnsi="Calibri" w:cs="Calibri"/>
          <w:b/>
          <w:bCs/>
          <w:color w:val="365F91"/>
          <w:sz w:val="16"/>
          <w:szCs w:val="16"/>
          <w:u w:color="365F91"/>
        </w:rPr>
      </w:pPr>
    </w:p>
    <w:p w:rsidR="0045571F" w:rsidRDefault="00062403">
      <w:pPr>
        <w:pStyle w:val="Style1"/>
        <w:spacing w:before="62" w:line="210" w:lineRule="exact"/>
        <w:jc w:val="center"/>
      </w:pPr>
      <w:r>
        <w:rPr>
          <w:rStyle w:val="Aucun"/>
          <w:rFonts w:ascii="Calibri" w:eastAsia="Calibri" w:hAnsi="Calibri" w:cs="Calibri"/>
          <w:b/>
          <w:bCs/>
          <w:color w:val="365F91"/>
          <w:sz w:val="16"/>
          <w:szCs w:val="16"/>
          <w:u w:color="365F91"/>
        </w:rPr>
        <w:t>Syndicat National de l’</w:t>
      </w:r>
      <w:proofErr w:type="spellStart"/>
      <w:r>
        <w:rPr>
          <w:rStyle w:val="Aucun"/>
          <w:rFonts w:ascii="Calibri" w:eastAsia="Calibri" w:hAnsi="Calibri" w:cs="Calibri"/>
          <w:b/>
          <w:bCs/>
          <w:color w:val="365F91"/>
          <w:sz w:val="16"/>
          <w:szCs w:val="16"/>
          <w:u w:color="365F91"/>
        </w:rPr>
        <w:t>Education</w:t>
      </w:r>
      <w:proofErr w:type="spellEnd"/>
      <w:r>
        <w:rPr>
          <w:rStyle w:val="Aucun"/>
          <w:rFonts w:ascii="Calibri" w:eastAsia="Calibri" w:hAnsi="Calibri" w:cs="Calibri"/>
          <w:b/>
          <w:bCs/>
          <w:color w:val="365F91"/>
          <w:sz w:val="16"/>
          <w:szCs w:val="16"/>
          <w:u w:color="365F91"/>
        </w:rPr>
        <w:t xml:space="preserve"> Physique de l’Enseignement Public (FSU)</w:t>
      </w:r>
    </w:p>
    <w:p w:rsidR="0045571F" w:rsidRDefault="0045571F">
      <w:pPr>
        <w:pStyle w:val="Titre"/>
        <w:rPr>
          <w:rStyle w:val="Aucun"/>
          <w:color w:val="000000"/>
          <w:u w:color="000000"/>
        </w:rPr>
      </w:pPr>
    </w:p>
    <w:p w:rsidR="0045571F" w:rsidRDefault="00062403">
      <w:pPr>
        <w:pStyle w:val="Titre"/>
        <w:jc w:val="center"/>
        <w:rPr>
          <w:rStyle w:val="Aucun"/>
          <w:color w:val="000000"/>
          <w:sz w:val="32"/>
          <w:szCs w:val="32"/>
          <w:u w:color="000000"/>
        </w:rPr>
      </w:pPr>
      <w:r>
        <w:rPr>
          <w:rStyle w:val="Aucun"/>
          <w:color w:val="000000"/>
          <w:sz w:val="32"/>
          <w:szCs w:val="32"/>
          <w:u w:color="000000"/>
        </w:rPr>
        <w:t xml:space="preserve">Conseil d’administration du </w:t>
      </w:r>
      <w:bookmarkStart w:id="0" w:name="_GoBack"/>
      <w:r w:rsidR="00D47701" w:rsidRPr="00D47701">
        <w:rPr>
          <w:rStyle w:val="Aucun"/>
          <w:i/>
          <w:iCs/>
          <w:color w:val="000000"/>
          <w:sz w:val="32"/>
          <w:szCs w:val="32"/>
          <w:u w:color="000000"/>
        </w:rPr>
        <w:t>(nom de l’établissement)</w:t>
      </w:r>
      <w:bookmarkEnd w:id="0"/>
    </w:p>
    <w:p w:rsidR="0045571F" w:rsidRDefault="00062403">
      <w:pPr>
        <w:pStyle w:val="Titre"/>
        <w:jc w:val="center"/>
        <w:rPr>
          <w:rStyle w:val="Aucun"/>
          <w:color w:val="000000"/>
          <w:u w:color="000000"/>
        </w:rPr>
      </w:pPr>
      <w:r>
        <w:rPr>
          <w:rStyle w:val="Aucun"/>
          <w:color w:val="000000"/>
          <w:u w:color="000000"/>
        </w:rPr>
        <w:t>Motion 2S2C</w:t>
      </w:r>
    </w:p>
    <w:p w:rsidR="0045571F" w:rsidRDefault="0045571F">
      <w:pPr>
        <w:pStyle w:val="Corps"/>
        <w:jc w:val="both"/>
        <w:rPr>
          <w:rStyle w:val="Aucun"/>
        </w:rPr>
      </w:pPr>
    </w:p>
    <w:p w:rsidR="0045571F" w:rsidRDefault="00062403">
      <w:pPr>
        <w:pStyle w:val="Corps"/>
        <w:jc w:val="both"/>
        <w:rPr>
          <w:rStyle w:val="Aucun"/>
        </w:rPr>
      </w:pPr>
      <w:r>
        <w:rPr>
          <w:rStyle w:val="Aucun"/>
        </w:rPr>
        <w:t xml:space="preserve">La circulaire de 04/05/2020 intègre le dispositif </w:t>
      </w:r>
      <w:r>
        <w:rPr>
          <w:rStyle w:val="Aucun"/>
          <w:shd w:val="clear" w:color="auto" w:fill="FFFFFF"/>
        </w:rPr>
        <w:t xml:space="preserve">«  </w:t>
      </w:r>
      <w:r>
        <w:rPr>
          <w:rStyle w:val="Aucun"/>
          <w:lang w:val="nl-NL"/>
        </w:rPr>
        <w:t>Sport, Sant</w:t>
      </w:r>
      <w:r>
        <w:rPr>
          <w:rStyle w:val="Aucun"/>
        </w:rPr>
        <w:t>é</w:t>
      </w:r>
      <w:r>
        <w:rPr>
          <w:rStyle w:val="Aucun"/>
          <w:lang w:val="it-IT"/>
        </w:rPr>
        <w:t xml:space="preserve">, Culture, </w:t>
      </w:r>
      <w:proofErr w:type="spellStart"/>
      <w:r>
        <w:rPr>
          <w:rStyle w:val="Aucun"/>
          <w:lang w:val="it-IT"/>
        </w:rPr>
        <w:t>Civisme</w:t>
      </w:r>
      <w:proofErr w:type="spellEnd"/>
      <w:r>
        <w:rPr>
          <w:rStyle w:val="Aucun"/>
          <w:lang w:val="it-IT"/>
        </w:rPr>
        <w:t xml:space="preserve"> » </w:t>
      </w:r>
      <w:r>
        <w:rPr>
          <w:rStyle w:val="Aucun"/>
        </w:rPr>
        <w:t xml:space="preserve">(2S2C) que le ministère de </w:t>
      </w:r>
      <w:r>
        <w:rPr>
          <w:rStyle w:val="Aucun"/>
        </w:rPr>
        <w:t>l'</w:t>
      </w:r>
      <w:proofErr w:type="spellStart"/>
      <w:r>
        <w:rPr>
          <w:rStyle w:val="Aucun"/>
        </w:rPr>
        <w:t>Education</w:t>
      </w:r>
      <w:proofErr w:type="spellEnd"/>
      <w:r>
        <w:rPr>
          <w:rStyle w:val="Aucun"/>
        </w:rPr>
        <w:t xml:space="preserve"> nationale a souhaité mettre en œuvre dès la reprise des cours.</w:t>
      </w:r>
    </w:p>
    <w:p w:rsidR="0045571F" w:rsidRDefault="00062403">
      <w:pPr>
        <w:pStyle w:val="Corps"/>
        <w:spacing w:after="0"/>
        <w:jc w:val="both"/>
        <w:rPr>
          <w:rStyle w:val="Aucun"/>
          <w:shd w:val="clear" w:color="auto" w:fill="FFFFFF"/>
        </w:rPr>
      </w:pPr>
      <w:r>
        <w:rPr>
          <w:rStyle w:val="Aucun"/>
          <w:shd w:val="clear" w:color="auto" w:fill="FFFFFF"/>
        </w:rPr>
        <w:t>D’</w:t>
      </w:r>
      <w:r>
        <w:rPr>
          <w:rStyle w:val="Aucun"/>
          <w:shd w:val="clear" w:color="auto" w:fill="FFFFFF"/>
        </w:rPr>
        <w:t>abord pré</w:t>
      </w:r>
      <w:r>
        <w:rPr>
          <w:rStyle w:val="Aucun"/>
          <w:shd w:val="clear" w:color="auto" w:fill="FFFFFF"/>
        </w:rPr>
        <w:t>sent</w:t>
      </w:r>
      <w:r>
        <w:rPr>
          <w:rStyle w:val="Aucun"/>
          <w:shd w:val="clear" w:color="auto" w:fill="FFFFFF"/>
        </w:rPr>
        <w:t>é comme un dispositif temporaire permettant aux é</w:t>
      </w:r>
      <w:r>
        <w:rPr>
          <w:rStyle w:val="Aucun"/>
          <w:shd w:val="clear" w:color="auto" w:fill="FFFFFF"/>
        </w:rPr>
        <w:t>l</w:t>
      </w:r>
      <w:r>
        <w:rPr>
          <w:rStyle w:val="Aucun"/>
          <w:shd w:val="clear" w:color="auto" w:fill="FFFFFF"/>
        </w:rPr>
        <w:t>èves de bé</w:t>
      </w:r>
      <w:r>
        <w:rPr>
          <w:rStyle w:val="Aucun"/>
          <w:shd w:val="clear" w:color="auto" w:fill="FFFFFF"/>
        </w:rPr>
        <w:t>n</w:t>
      </w:r>
      <w:r>
        <w:rPr>
          <w:rStyle w:val="Aucun"/>
          <w:shd w:val="clear" w:color="auto" w:fill="FFFFFF"/>
        </w:rPr>
        <w:t>éficier d</w:t>
      </w:r>
      <w:r>
        <w:rPr>
          <w:rStyle w:val="Aucun"/>
          <w:shd w:val="clear" w:color="auto" w:fill="FFFFFF"/>
        </w:rPr>
        <w:t>’</w:t>
      </w:r>
      <w:r w:rsidRPr="00D47701">
        <w:rPr>
          <w:rStyle w:val="Aucun"/>
          <w:shd w:val="clear" w:color="auto" w:fill="FFFFFF"/>
        </w:rPr>
        <w:t>activit</w:t>
      </w:r>
      <w:r>
        <w:rPr>
          <w:rStyle w:val="Aucun"/>
          <w:shd w:val="clear" w:color="auto" w:fill="FFFFFF"/>
        </w:rPr>
        <w:t xml:space="preserve">és autour des thématiques </w:t>
      </w:r>
      <w:r>
        <w:rPr>
          <w:rStyle w:val="Aucun"/>
        </w:rPr>
        <w:t xml:space="preserve">(2S2C) </w:t>
      </w:r>
      <w:r>
        <w:rPr>
          <w:rStyle w:val="Aucun"/>
        </w:rPr>
        <w:t>à</w:t>
      </w:r>
      <w:r>
        <w:rPr>
          <w:rStyle w:val="Aucun"/>
          <w:shd w:val="clear" w:color="auto" w:fill="FFFFFF"/>
          <w:lang w:val="it-IT"/>
        </w:rPr>
        <w:t xml:space="preserve"> la r</w:t>
      </w:r>
      <w:proofErr w:type="spellStart"/>
      <w:r>
        <w:rPr>
          <w:rStyle w:val="Aucun"/>
          <w:shd w:val="clear" w:color="auto" w:fill="FFFFFF"/>
        </w:rPr>
        <w:t>éouverture</w:t>
      </w:r>
      <w:proofErr w:type="spellEnd"/>
      <w:r>
        <w:rPr>
          <w:rStyle w:val="Aucun"/>
          <w:shd w:val="clear" w:color="auto" w:fill="FFFFFF"/>
        </w:rPr>
        <w:t xml:space="preserve"> progressive des écoles, collèges, lycé</w:t>
      </w:r>
      <w:r>
        <w:rPr>
          <w:rStyle w:val="Aucun"/>
          <w:shd w:val="clear" w:color="auto" w:fill="FFFFFF"/>
        </w:rPr>
        <w:t xml:space="preserve">es, celui-ci apparait comme l'horizon de "l'école de demain" selon la déclaration de M. </w:t>
      </w:r>
      <w:proofErr w:type="spellStart"/>
      <w:r>
        <w:rPr>
          <w:rStyle w:val="Aucun"/>
          <w:shd w:val="clear" w:color="auto" w:fill="FFFFFF"/>
        </w:rPr>
        <w:t>Blanquer</w:t>
      </w:r>
      <w:proofErr w:type="spellEnd"/>
      <w:r>
        <w:rPr>
          <w:rStyle w:val="Aucun"/>
          <w:shd w:val="clear" w:color="auto" w:fill="FFFFFF"/>
        </w:rPr>
        <w:t xml:space="preserve"> au Sénat le 19 mai 2020. </w:t>
      </w:r>
    </w:p>
    <w:p w:rsidR="0045571F" w:rsidRDefault="0045571F">
      <w:pPr>
        <w:pStyle w:val="Corps"/>
        <w:spacing w:after="0"/>
        <w:jc w:val="both"/>
        <w:rPr>
          <w:rStyle w:val="Aucun"/>
          <w:shd w:val="clear" w:color="auto" w:fill="FFFFFF"/>
        </w:rPr>
      </w:pPr>
    </w:p>
    <w:p w:rsidR="0045571F" w:rsidRDefault="00062403">
      <w:pPr>
        <w:pStyle w:val="Corps"/>
        <w:jc w:val="both"/>
      </w:pPr>
      <w:r>
        <w:rPr>
          <w:rStyle w:val="Aucun"/>
          <w:lang w:val="it-IT"/>
        </w:rPr>
        <w:t>Il s</w:t>
      </w:r>
      <w:r>
        <w:rPr>
          <w:rStyle w:val="Aucun"/>
        </w:rPr>
        <w:t>’</w:t>
      </w:r>
      <w:r>
        <w:rPr>
          <w:rStyle w:val="Aucun"/>
        </w:rPr>
        <w:t>agit là de la vision d</w:t>
      </w:r>
      <w:r>
        <w:rPr>
          <w:rStyle w:val="Aucun"/>
        </w:rPr>
        <w:t>’</w:t>
      </w:r>
      <w:r>
        <w:rPr>
          <w:rStyle w:val="Aucun"/>
        </w:rPr>
        <w:t xml:space="preserve">une </w:t>
      </w:r>
      <w:r>
        <w:rPr>
          <w:rStyle w:val="Aucun"/>
        </w:rPr>
        <w:t>« é</w:t>
      </w:r>
      <w:r>
        <w:rPr>
          <w:rStyle w:val="Aucun"/>
        </w:rPr>
        <w:t>cole des fondamentaux</w:t>
      </w:r>
      <w:r>
        <w:rPr>
          <w:rStyle w:val="Aucun"/>
          <w:lang w:val="it-IT"/>
        </w:rPr>
        <w:t xml:space="preserve"> » </w:t>
      </w:r>
      <w:r>
        <w:rPr>
          <w:rStyle w:val="Aucun"/>
        </w:rPr>
        <w:t>(lire, écrire, compter, respecter autrui) qui consiste à renvoyer certain</w:t>
      </w:r>
      <w:r>
        <w:rPr>
          <w:rStyle w:val="Aucun"/>
        </w:rPr>
        <w:t>es disciplines (éducation musicale, arts plastiques, EPS</w:t>
      </w:r>
      <w:r>
        <w:rPr>
          <w:rStyle w:val="Aucun"/>
        </w:rPr>
        <w:t>…</w:t>
      </w:r>
      <w:r>
        <w:rPr>
          <w:rStyle w:val="Aucun"/>
        </w:rPr>
        <w:t>) hors de l</w:t>
      </w:r>
      <w:r>
        <w:rPr>
          <w:rStyle w:val="Aucun"/>
        </w:rPr>
        <w:t>’</w:t>
      </w:r>
      <w:proofErr w:type="spellStart"/>
      <w:r>
        <w:rPr>
          <w:rStyle w:val="Aucun"/>
        </w:rPr>
        <w:t>Ecole</w:t>
      </w:r>
      <w:proofErr w:type="spellEnd"/>
      <w:r>
        <w:rPr>
          <w:rStyle w:val="Aucun"/>
        </w:rPr>
        <w:t>. Pour nous, l</w:t>
      </w:r>
      <w:r>
        <w:rPr>
          <w:rStyle w:val="Aucun"/>
        </w:rPr>
        <w:t>’</w:t>
      </w:r>
      <w:r>
        <w:rPr>
          <w:rStyle w:val="Aucun"/>
          <w:lang w:val="pt-PT"/>
        </w:rPr>
        <w:t>EPS, l</w:t>
      </w:r>
      <w:r>
        <w:rPr>
          <w:rStyle w:val="Aucun"/>
        </w:rPr>
        <w:t xml:space="preserve">’éducation musicale et les arts plastiques </w:t>
      </w:r>
      <w:proofErr w:type="spellStart"/>
      <w:r>
        <w:rPr>
          <w:rStyle w:val="Aucun"/>
        </w:rPr>
        <w:t>rel</w:t>
      </w:r>
      <w:proofErr w:type="spellEnd"/>
      <w:r>
        <w:rPr>
          <w:rStyle w:val="Aucun"/>
          <w:lang w:val="it-IT"/>
        </w:rPr>
        <w:t>è</w:t>
      </w:r>
      <w:r>
        <w:rPr>
          <w:rStyle w:val="Aucun"/>
        </w:rPr>
        <w:t>vent du service public d</w:t>
      </w:r>
      <w:r>
        <w:rPr>
          <w:rStyle w:val="Aucun"/>
        </w:rPr>
        <w:t>’</w:t>
      </w:r>
      <w:proofErr w:type="spellStart"/>
      <w:r>
        <w:rPr>
          <w:rStyle w:val="Aucun"/>
        </w:rPr>
        <w:t>Education</w:t>
      </w:r>
      <w:proofErr w:type="spellEnd"/>
      <w:r>
        <w:rPr>
          <w:rStyle w:val="Aucun"/>
        </w:rPr>
        <w:t xml:space="preserve"> et en ce sens, ces disciplines doivent être, au même titre que les autres, enseignées en garantissant l’égalité de service public sur tout le territoire. Elles font partie de la culture humaine au même titre que les sciences, la littérature, etc.</w:t>
      </w:r>
    </w:p>
    <w:p w:rsidR="0045571F" w:rsidRDefault="00062403">
      <w:pPr>
        <w:pStyle w:val="Corps"/>
        <w:spacing w:after="0"/>
        <w:jc w:val="both"/>
        <w:rPr>
          <w:rStyle w:val="Aucun"/>
        </w:rPr>
      </w:pPr>
      <w:r>
        <w:rPr>
          <w:rStyle w:val="Aucun"/>
        </w:rPr>
        <w:t>Ce programme permet l'intervention en son sein, sur le temps scolaire, des intervenants extérieurs à l'</w:t>
      </w:r>
      <w:proofErr w:type="spellStart"/>
      <w:r>
        <w:rPr>
          <w:rStyle w:val="Aucun"/>
        </w:rPr>
        <w:t>Ecole</w:t>
      </w:r>
      <w:proofErr w:type="spellEnd"/>
      <w:r>
        <w:rPr>
          <w:rStyle w:val="Aucun"/>
        </w:rPr>
        <w:t xml:space="preserve"> et des structures telles que les associations culturelles, artistiques, sportives</w:t>
      </w:r>
      <w:r>
        <w:rPr>
          <w:rStyle w:val="Aucun"/>
        </w:rPr>
        <w:t xml:space="preserve">… </w:t>
      </w:r>
    </w:p>
    <w:p w:rsidR="0045571F" w:rsidRDefault="0045571F">
      <w:pPr>
        <w:pStyle w:val="Corps"/>
        <w:spacing w:after="0"/>
        <w:jc w:val="both"/>
        <w:rPr>
          <w:rStyle w:val="Aucun"/>
        </w:rPr>
      </w:pPr>
    </w:p>
    <w:p w:rsidR="0045571F" w:rsidRDefault="00062403">
      <w:pPr>
        <w:pStyle w:val="Corps"/>
        <w:spacing w:after="0"/>
        <w:jc w:val="both"/>
        <w:rPr>
          <w:rStyle w:val="Aucun"/>
        </w:rPr>
      </w:pPr>
      <w:r>
        <w:rPr>
          <w:rStyle w:val="Aucun"/>
        </w:rPr>
        <w:t>Le dispositif du 2S2C autorise même parfois à utiliser de man</w:t>
      </w:r>
      <w:r>
        <w:rPr>
          <w:rStyle w:val="Aucun"/>
        </w:rPr>
        <w:t>ière prioritaire des installations sportives ou scolaires alors même que pour des raisons sanitaires cet accès est refusé dans le cadre de notre discipline scolaire.</w:t>
      </w:r>
    </w:p>
    <w:p w:rsidR="0045571F" w:rsidRDefault="0045571F">
      <w:pPr>
        <w:pStyle w:val="Corps"/>
        <w:spacing w:after="0"/>
        <w:jc w:val="both"/>
        <w:rPr>
          <w:rStyle w:val="Aucun"/>
        </w:rPr>
      </w:pPr>
    </w:p>
    <w:p w:rsidR="0045571F" w:rsidRDefault="00062403">
      <w:pPr>
        <w:pStyle w:val="Corps"/>
        <w:spacing w:after="0"/>
        <w:jc w:val="both"/>
        <w:rPr>
          <w:rStyle w:val="Aucun"/>
        </w:rPr>
      </w:pPr>
      <w:r>
        <w:rPr>
          <w:rStyle w:val="Aucun"/>
        </w:rPr>
        <w:t>Seuls les enseignants recrutés sur concours, cadres A de la fonction publique d'</w:t>
      </w:r>
      <w:proofErr w:type="spellStart"/>
      <w:r>
        <w:rPr>
          <w:rStyle w:val="Aucun"/>
        </w:rPr>
        <w:t>Etat</w:t>
      </w:r>
      <w:proofErr w:type="spellEnd"/>
      <w:r>
        <w:rPr>
          <w:rStyle w:val="Aucun"/>
        </w:rPr>
        <w:t>, son</w:t>
      </w:r>
      <w:r>
        <w:rPr>
          <w:rStyle w:val="Aucun"/>
        </w:rPr>
        <w:t xml:space="preserve">t à </w:t>
      </w:r>
      <w:r>
        <w:rPr>
          <w:rStyle w:val="Aucun"/>
        </w:rPr>
        <w:t>m</w:t>
      </w:r>
      <w:r>
        <w:rPr>
          <w:rStyle w:val="Aucun"/>
        </w:rPr>
        <w:t>ême de pouvoir déterminer localement, avec leur direction, les caractéristiques de mises en œuvres de l</w:t>
      </w:r>
      <w:r>
        <w:rPr>
          <w:rStyle w:val="Aucun"/>
        </w:rPr>
        <w:t>’</w:t>
      </w:r>
      <w:r>
        <w:rPr>
          <w:rStyle w:val="Aucun"/>
        </w:rPr>
        <w:t>EPS et du sport scolaire, des arts plastiques ou de l’éducation musicale, dans le cadre de projets pédagogiques pensés et construits en é</w:t>
      </w:r>
      <w:proofErr w:type="spellStart"/>
      <w:r>
        <w:rPr>
          <w:rStyle w:val="Aucun"/>
          <w:lang w:val="pt-PT"/>
        </w:rPr>
        <w:t>quipe</w:t>
      </w:r>
      <w:proofErr w:type="spellEnd"/>
      <w:r>
        <w:rPr>
          <w:rStyle w:val="Aucun"/>
          <w:lang w:val="pt-PT"/>
        </w:rPr>
        <w:t>.</w:t>
      </w:r>
    </w:p>
    <w:p w:rsidR="0045571F" w:rsidRDefault="0045571F">
      <w:pPr>
        <w:pStyle w:val="Corps"/>
        <w:spacing w:after="0"/>
        <w:jc w:val="both"/>
        <w:rPr>
          <w:rStyle w:val="Aucun"/>
        </w:rPr>
      </w:pPr>
    </w:p>
    <w:p w:rsidR="0045571F" w:rsidRDefault="00062403">
      <w:pPr>
        <w:pStyle w:val="Corps"/>
        <w:spacing w:after="240"/>
        <w:rPr>
          <w:rStyle w:val="Aucun"/>
        </w:rPr>
      </w:pPr>
      <w:r>
        <w:rPr>
          <w:rStyle w:val="Aucun"/>
        </w:rPr>
        <w:t>C’</w:t>
      </w:r>
      <w:r>
        <w:rPr>
          <w:rStyle w:val="Aucun"/>
        </w:rPr>
        <w:t>est pourquoi</w:t>
      </w:r>
      <w:r>
        <w:rPr>
          <w:rStyle w:val="Aucun"/>
        </w:rPr>
        <w:t> :</w:t>
      </w:r>
    </w:p>
    <w:p w:rsidR="0045571F" w:rsidRDefault="00062403">
      <w:pPr>
        <w:pStyle w:val="Paragraphedeliste"/>
        <w:numPr>
          <w:ilvl w:val="0"/>
          <w:numId w:val="2"/>
        </w:numPr>
        <w:spacing w:after="0"/>
        <w:ind w:right="425"/>
        <w:jc w:val="both"/>
        <w:rPr>
          <w:b/>
          <w:bCs/>
        </w:rPr>
      </w:pPr>
      <w:r>
        <w:rPr>
          <w:rStyle w:val="Aucun"/>
          <w:b/>
          <w:bCs/>
        </w:rPr>
        <w:t>Nous dénonçons le dispositif 2S2C et nous nous opposons à sa mise en place dans notre établissement.</w:t>
      </w:r>
    </w:p>
    <w:p w:rsidR="0045571F" w:rsidRDefault="00062403">
      <w:pPr>
        <w:pStyle w:val="Paragraphedeliste"/>
        <w:numPr>
          <w:ilvl w:val="0"/>
          <w:numId w:val="2"/>
        </w:numPr>
        <w:spacing w:before="240" w:after="240"/>
        <w:ind w:right="425"/>
        <w:jc w:val="both"/>
        <w:rPr>
          <w:b/>
          <w:bCs/>
        </w:rPr>
      </w:pPr>
      <w:r>
        <w:rPr>
          <w:rStyle w:val="Aucun"/>
          <w:b/>
          <w:bCs/>
        </w:rPr>
        <w:t>Nous souhaitons que l’équipe pédagogique de l’EPS soit concertée pour toute mise en œuvre des APSA sur le temps scolaire, y compris et surto</w:t>
      </w:r>
      <w:r>
        <w:rPr>
          <w:rStyle w:val="Aucun"/>
          <w:b/>
          <w:bCs/>
        </w:rPr>
        <w:t xml:space="preserve">ut dans le cadre très contraint lié au protocole sanitaire. </w:t>
      </w:r>
    </w:p>
    <w:p w:rsidR="0045571F" w:rsidRDefault="00062403">
      <w:pPr>
        <w:pStyle w:val="Paragraphedeliste"/>
        <w:numPr>
          <w:ilvl w:val="0"/>
          <w:numId w:val="3"/>
        </w:numPr>
        <w:ind w:right="425"/>
        <w:jc w:val="both"/>
        <w:rPr>
          <w:b/>
          <w:bCs/>
        </w:rPr>
      </w:pPr>
      <w:r>
        <w:rPr>
          <w:rStyle w:val="Aucun"/>
          <w:b/>
          <w:bCs/>
        </w:rPr>
        <w:lastRenderedPageBreak/>
        <w:t xml:space="preserve">Nous demandons à la commune et au chef d’établissement que les équipements sportifs soient réservés à l’EPS sur tout le temps scolaire. </w:t>
      </w:r>
    </w:p>
    <w:sectPr w:rsidR="0045571F">
      <w:headerReference w:type="default" r:id="rId8"/>
      <w:footerReference w:type="default" r:id="rId9"/>
      <w:pgSz w:w="11900" w:h="16840"/>
      <w:pgMar w:top="709" w:right="1417" w:bottom="56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2403" w:rsidRDefault="00062403">
      <w:r>
        <w:separator/>
      </w:r>
    </w:p>
  </w:endnote>
  <w:endnote w:type="continuationSeparator" w:id="0">
    <w:p w:rsidR="00062403" w:rsidRDefault="0006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571F" w:rsidRDefault="0045571F">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2403" w:rsidRDefault="00062403">
      <w:r>
        <w:separator/>
      </w:r>
    </w:p>
  </w:footnote>
  <w:footnote w:type="continuationSeparator" w:id="0">
    <w:p w:rsidR="00062403" w:rsidRDefault="0006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571F" w:rsidRDefault="004557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37C7B"/>
    <w:multiLevelType w:val="hybridMultilevel"/>
    <w:tmpl w:val="1012C104"/>
    <w:numStyleLink w:val="Style1import"/>
  </w:abstractNum>
  <w:abstractNum w:abstractNumId="1" w15:restartNumberingAfterBreak="0">
    <w:nsid w:val="387050DE"/>
    <w:multiLevelType w:val="hybridMultilevel"/>
    <w:tmpl w:val="1012C104"/>
    <w:styleLink w:val="Style1import"/>
    <w:lvl w:ilvl="0" w:tplc="673012C4">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268E9BA4">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4F922D40">
      <w:start w:val="1"/>
      <w:numFmt w:val="lowerRoman"/>
      <w:lvlText w:val="%3."/>
      <w:lvlJc w:val="left"/>
      <w:pPr>
        <w:ind w:left="2154" w:hanging="306"/>
      </w:pPr>
      <w:rPr>
        <w:rFonts w:hAnsi="Arial Unicode MS"/>
        <w:b/>
        <w:bCs/>
        <w:caps w:val="0"/>
        <w:smallCaps w:val="0"/>
        <w:strike w:val="0"/>
        <w:dstrike w:val="0"/>
        <w:outline w:val="0"/>
        <w:emboss w:val="0"/>
        <w:imprint w:val="0"/>
        <w:spacing w:val="0"/>
        <w:w w:val="100"/>
        <w:kern w:val="0"/>
        <w:position w:val="0"/>
        <w:highlight w:val="none"/>
        <w:vertAlign w:val="baseline"/>
      </w:rPr>
    </w:lvl>
    <w:lvl w:ilvl="3" w:tplc="6C903122">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2F2AC84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724A0B9E">
      <w:start w:val="1"/>
      <w:numFmt w:val="lowerRoman"/>
      <w:lvlText w:val="%6."/>
      <w:lvlJc w:val="left"/>
      <w:pPr>
        <w:ind w:left="4314" w:hanging="306"/>
      </w:pPr>
      <w:rPr>
        <w:rFonts w:hAnsi="Arial Unicode MS"/>
        <w:b/>
        <w:bCs/>
        <w:caps w:val="0"/>
        <w:smallCaps w:val="0"/>
        <w:strike w:val="0"/>
        <w:dstrike w:val="0"/>
        <w:outline w:val="0"/>
        <w:emboss w:val="0"/>
        <w:imprint w:val="0"/>
        <w:spacing w:val="0"/>
        <w:w w:val="100"/>
        <w:kern w:val="0"/>
        <w:position w:val="0"/>
        <w:highlight w:val="none"/>
        <w:vertAlign w:val="baseline"/>
      </w:rPr>
    </w:lvl>
    <w:lvl w:ilvl="6" w:tplc="E9CA92E8">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55B8C540">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DDCC5F40">
      <w:start w:val="1"/>
      <w:numFmt w:val="lowerRoman"/>
      <w:lvlText w:val="%9."/>
      <w:lvlJc w:val="left"/>
      <w:pPr>
        <w:ind w:left="6474" w:hanging="30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B4A6BA1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20075E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8C231E4">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85CCEC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C7AAD3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3CC217A">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75608E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F5A147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8EC35C0">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1F"/>
    <w:rsid w:val="00062403"/>
    <w:rsid w:val="0045571F"/>
    <w:rsid w:val="00D477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44AF52"/>
  <w15:docId w15:val="{B095C414-74A2-584B-8E59-0450E768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e1">
    <w:name w:val="Style 1"/>
    <w:pPr>
      <w:widowControl w:val="0"/>
    </w:pPr>
    <w:rPr>
      <w:rFonts w:cs="Arial Unicode MS"/>
      <w:color w:val="000000"/>
      <w:u w:color="000000"/>
    </w:rPr>
  </w:style>
  <w:style w:type="character" w:customStyle="1" w:styleId="Aucun">
    <w:name w:val="Aucun"/>
  </w:style>
  <w:style w:type="paragraph" w:styleId="Titre">
    <w:name w:val="Title"/>
    <w:next w:val="Corps"/>
    <w:uiPriority w:val="10"/>
    <w:qFormat/>
    <w:pPr>
      <w:pBdr>
        <w:bottom w:val="single" w:sz="8" w:space="0" w:color="4F81BD"/>
      </w:pBdr>
      <w:spacing w:after="300"/>
    </w:pPr>
    <w:rPr>
      <w:rFonts w:ascii="Cambria" w:eastAsia="Cambria" w:hAnsi="Cambria" w:cs="Cambria"/>
      <w:color w:val="17365D"/>
      <w:spacing w:val="5"/>
      <w:kern w:val="28"/>
      <w:sz w:val="52"/>
      <w:szCs w:val="52"/>
      <w:u w:color="17365D"/>
      <w14:textOutline w14:w="0" w14:cap="flat" w14:cmpd="sng" w14:algn="ctr">
        <w14:noFill/>
        <w14:prstDash w14:val="solid"/>
        <w14:bevel/>
      </w14:textOutline>
    </w:rPr>
  </w:style>
  <w:style w:type="paragraph" w:customStyle="1" w:styleId="Corps">
    <w:name w:val="Corps"/>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numbering" w:customStyle="1" w:styleId="Style1import">
    <w:name w:val="Style 1 importé"/>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Cambria"/>
        <a:ea typeface="Cambria"/>
        <a:cs typeface="Cambria"/>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2043</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drouilleau</cp:lastModifiedBy>
  <cp:revision>2</cp:revision>
  <dcterms:created xsi:type="dcterms:W3CDTF">2020-12-17T13:06:00Z</dcterms:created>
  <dcterms:modified xsi:type="dcterms:W3CDTF">2020-12-17T13:06:00Z</dcterms:modified>
</cp:coreProperties>
</file>